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56C5C" w14:textId="6712B53A" w:rsidR="00EA650A" w:rsidRDefault="00EA650A" w:rsidP="00984DFF">
      <w:pPr>
        <w:pStyle w:val="Subtitle"/>
        <w:rPr>
          <w:rFonts w:ascii="Open Sans SemiBold" w:hAnsi="Open Sans SemiBold" w:cs="Open Sans SemiBold"/>
          <w:b/>
          <w:sz w:val="28"/>
        </w:rPr>
      </w:pPr>
      <w:r w:rsidRPr="00EA650A">
        <w:rPr>
          <w:rFonts w:ascii="Open Sans SemiBold" w:hAnsi="Open Sans SemiBold" w:cs="Open Sans SemiBold"/>
          <w:b/>
          <w:sz w:val="28"/>
        </w:rPr>
        <w:t xml:space="preserve">QXAFS </w:t>
      </w:r>
      <w:r w:rsidR="00AC7F5B">
        <w:rPr>
          <w:rFonts w:ascii="Open Sans SemiBold" w:hAnsi="Open Sans SemiBold" w:cs="Open Sans SemiBold"/>
          <w:b/>
          <w:sz w:val="28"/>
        </w:rPr>
        <w:t>S</w:t>
      </w:r>
      <w:r w:rsidRPr="00EA650A">
        <w:rPr>
          <w:rFonts w:ascii="Open Sans SemiBold" w:hAnsi="Open Sans SemiBold" w:cs="Open Sans SemiBold"/>
          <w:b/>
          <w:sz w:val="28"/>
        </w:rPr>
        <w:t xml:space="preserve">tudy of </w:t>
      </w:r>
      <w:r w:rsidR="00AC7F5B">
        <w:rPr>
          <w:rFonts w:ascii="Open Sans SemiBold" w:hAnsi="Open Sans SemiBold" w:cs="Open Sans SemiBold"/>
          <w:b/>
          <w:sz w:val="28"/>
        </w:rPr>
        <w:t>C</w:t>
      </w:r>
      <w:r w:rsidRPr="00EA650A">
        <w:rPr>
          <w:rFonts w:ascii="Open Sans SemiBold" w:hAnsi="Open Sans SemiBold" w:cs="Open Sans SemiBold"/>
          <w:b/>
          <w:sz w:val="28"/>
        </w:rPr>
        <w:t xml:space="preserve">hemical and </w:t>
      </w:r>
      <w:r w:rsidR="00AC7F5B">
        <w:rPr>
          <w:rFonts w:ascii="Open Sans SemiBold" w:hAnsi="Open Sans SemiBold" w:cs="Open Sans SemiBold"/>
          <w:b/>
          <w:sz w:val="28"/>
        </w:rPr>
        <w:t>S</w:t>
      </w:r>
      <w:r w:rsidRPr="00EA650A">
        <w:rPr>
          <w:rFonts w:ascii="Open Sans SemiBold" w:hAnsi="Open Sans SemiBold" w:cs="Open Sans SemiBold"/>
          <w:b/>
          <w:sz w:val="28"/>
        </w:rPr>
        <w:t xml:space="preserve">tructural </w:t>
      </w:r>
      <w:r w:rsidR="00AC7F5B">
        <w:rPr>
          <w:rFonts w:ascii="Open Sans SemiBold" w:hAnsi="Open Sans SemiBold" w:cs="Open Sans SemiBold"/>
          <w:b/>
          <w:sz w:val="28"/>
        </w:rPr>
        <w:t>T</w:t>
      </w:r>
      <w:r w:rsidRPr="00EA650A">
        <w:rPr>
          <w:rFonts w:ascii="Open Sans SemiBold" w:hAnsi="Open Sans SemiBold" w:cs="Open Sans SemiBold"/>
          <w:b/>
          <w:sz w:val="28"/>
        </w:rPr>
        <w:t xml:space="preserve">ransformations in </w:t>
      </w:r>
      <w:r w:rsidR="00AC7F5B">
        <w:rPr>
          <w:rFonts w:ascii="Open Sans SemiBold" w:hAnsi="Open Sans SemiBold" w:cs="Open Sans SemiBold"/>
          <w:b/>
          <w:sz w:val="28"/>
        </w:rPr>
        <w:t>C</w:t>
      </w:r>
      <w:r w:rsidRPr="00EA650A">
        <w:rPr>
          <w:rFonts w:ascii="Open Sans SemiBold" w:hAnsi="Open Sans SemiBold" w:cs="Open Sans SemiBold"/>
          <w:b/>
          <w:sz w:val="28"/>
        </w:rPr>
        <w:t>opper-</w:t>
      </w:r>
      <w:r w:rsidR="00AC7F5B">
        <w:rPr>
          <w:rFonts w:ascii="Open Sans SemiBold" w:hAnsi="Open Sans SemiBold" w:cs="Open Sans SemiBold"/>
          <w:b/>
          <w:sz w:val="28"/>
        </w:rPr>
        <w:t>Z</w:t>
      </w:r>
      <w:r w:rsidRPr="00EA650A">
        <w:rPr>
          <w:rFonts w:ascii="Open Sans SemiBold" w:hAnsi="Open Sans SemiBold" w:cs="Open Sans SemiBold"/>
          <w:b/>
          <w:sz w:val="28"/>
        </w:rPr>
        <w:t xml:space="preserve">inc </w:t>
      </w:r>
      <w:r w:rsidR="00AC7F5B">
        <w:rPr>
          <w:rFonts w:ascii="Open Sans SemiBold" w:hAnsi="Open Sans SemiBold" w:cs="Open Sans SemiBold"/>
          <w:b/>
          <w:sz w:val="28"/>
        </w:rPr>
        <w:t>N</w:t>
      </w:r>
      <w:r w:rsidRPr="00EA650A">
        <w:rPr>
          <w:rFonts w:ascii="Open Sans SemiBold" w:hAnsi="Open Sans SemiBold" w:cs="Open Sans SemiBold"/>
          <w:b/>
          <w:sz w:val="28"/>
        </w:rPr>
        <w:t xml:space="preserve">anocatalysts </w:t>
      </w:r>
      <w:r w:rsidR="003426AC">
        <w:rPr>
          <w:rFonts w:ascii="Open Sans SemiBold" w:hAnsi="Open Sans SemiBold" w:cs="Open Sans SemiBold"/>
          <w:b/>
          <w:sz w:val="28"/>
        </w:rPr>
        <w:t>during</w:t>
      </w:r>
      <w:r w:rsidRPr="00EA650A">
        <w:rPr>
          <w:rFonts w:ascii="Open Sans SemiBold" w:hAnsi="Open Sans SemiBold" w:cs="Open Sans SemiBold"/>
          <w:b/>
          <w:sz w:val="28"/>
        </w:rPr>
        <w:t xml:space="preserve"> </w:t>
      </w:r>
      <w:r w:rsidR="00AC7F5B">
        <w:rPr>
          <w:rFonts w:ascii="Open Sans SemiBold" w:hAnsi="Open Sans SemiBold" w:cs="Open Sans SemiBold"/>
          <w:b/>
          <w:sz w:val="28"/>
        </w:rPr>
        <w:t>the O</w:t>
      </w:r>
      <w:r w:rsidRPr="00EA650A">
        <w:rPr>
          <w:rFonts w:ascii="Open Sans SemiBold" w:hAnsi="Open Sans SemiBold" w:cs="Open Sans SemiBold"/>
          <w:b/>
          <w:sz w:val="28"/>
        </w:rPr>
        <w:t xml:space="preserve">ptimized </w:t>
      </w:r>
      <w:r w:rsidR="00AC7F5B">
        <w:rPr>
          <w:rFonts w:ascii="Open Sans SemiBold" w:hAnsi="Open Sans SemiBold" w:cs="Open Sans SemiBold"/>
          <w:b/>
          <w:sz w:val="28"/>
        </w:rPr>
        <w:t>P</w:t>
      </w:r>
      <w:r w:rsidRPr="00EA650A">
        <w:rPr>
          <w:rFonts w:ascii="Open Sans SemiBold" w:hAnsi="Open Sans SemiBold" w:cs="Open Sans SemiBold"/>
          <w:b/>
          <w:sz w:val="28"/>
        </w:rPr>
        <w:t>ulsed CO</w:t>
      </w:r>
      <w:r w:rsidRPr="00AC7F5B">
        <w:rPr>
          <w:rFonts w:ascii="Open Sans SemiBold" w:hAnsi="Open Sans SemiBold" w:cs="Open Sans SemiBold"/>
          <w:b/>
          <w:sz w:val="28"/>
          <w:vertAlign w:val="subscript"/>
        </w:rPr>
        <w:t>2</w:t>
      </w:r>
      <w:r w:rsidRPr="00EA650A">
        <w:rPr>
          <w:rFonts w:ascii="Open Sans SemiBold" w:hAnsi="Open Sans SemiBold" w:cs="Open Sans SemiBold"/>
          <w:b/>
          <w:sz w:val="28"/>
        </w:rPr>
        <w:t xml:space="preserve"> </w:t>
      </w:r>
      <w:r w:rsidR="00AC7F5B">
        <w:rPr>
          <w:rFonts w:ascii="Open Sans SemiBold" w:hAnsi="Open Sans SemiBold" w:cs="Open Sans SemiBold"/>
          <w:b/>
          <w:sz w:val="28"/>
        </w:rPr>
        <w:t>E</w:t>
      </w:r>
      <w:r w:rsidRPr="00EA650A">
        <w:rPr>
          <w:rFonts w:ascii="Open Sans SemiBold" w:hAnsi="Open Sans SemiBold" w:cs="Open Sans SemiBold"/>
          <w:b/>
          <w:sz w:val="28"/>
        </w:rPr>
        <w:t>lectro</w:t>
      </w:r>
      <w:r w:rsidR="00E64E49">
        <w:rPr>
          <w:rFonts w:ascii="Open Sans SemiBold" w:hAnsi="Open Sans SemiBold" w:cs="Open Sans SemiBold"/>
          <w:b/>
          <w:sz w:val="28"/>
        </w:rPr>
        <w:t>catalytic R</w:t>
      </w:r>
      <w:r w:rsidRPr="00EA650A">
        <w:rPr>
          <w:rFonts w:ascii="Open Sans SemiBold" w:hAnsi="Open Sans SemiBold" w:cs="Open Sans SemiBold"/>
          <w:b/>
          <w:sz w:val="28"/>
        </w:rPr>
        <w:t xml:space="preserve">eduction toward </w:t>
      </w:r>
      <w:r w:rsidR="00AC7F5B">
        <w:rPr>
          <w:rFonts w:ascii="Open Sans SemiBold" w:hAnsi="Open Sans SemiBold" w:cs="Open Sans SemiBold"/>
          <w:b/>
          <w:sz w:val="28"/>
        </w:rPr>
        <w:t>E</w:t>
      </w:r>
      <w:r w:rsidRPr="00EA650A">
        <w:rPr>
          <w:rFonts w:ascii="Open Sans SemiBold" w:hAnsi="Open Sans SemiBold" w:cs="Open Sans SemiBold"/>
          <w:b/>
          <w:sz w:val="28"/>
        </w:rPr>
        <w:t>thanol</w:t>
      </w:r>
    </w:p>
    <w:p w14:paraId="1F9E972C" w14:textId="3A687156" w:rsidR="003639EA" w:rsidRPr="003639EA" w:rsidRDefault="0057328D" w:rsidP="003639EA">
      <w:pPr>
        <w:jc w:val="center"/>
      </w:pPr>
      <w:r w:rsidRPr="0057328D">
        <w:t>Martina Rüscher, Antonia Herzog</w:t>
      </w:r>
      <w:r>
        <w:t>,</w:t>
      </w:r>
      <w:r w:rsidRPr="0057328D">
        <w:t xml:space="preserve"> Hyo Sang Jeon, Arno Bergmann</w:t>
      </w:r>
      <w:r>
        <w:t>,</w:t>
      </w:r>
      <w:r w:rsidRPr="0057328D">
        <w:t xml:space="preserve"> Janis Timoshenko</w:t>
      </w:r>
      <w:r>
        <w:t xml:space="preserve">, </w:t>
      </w:r>
      <w:r w:rsidRPr="0057328D">
        <w:t>Beatriz Roldán Cuenya</w:t>
      </w:r>
    </w:p>
    <w:p w14:paraId="5B31C285" w14:textId="197CDB7A" w:rsidR="008B6B71" w:rsidRPr="008B6B71" w:rsidRDefault="008B6B71" w:rsidP="008B6B71">
      <w:pPr>
        <w:rPr>
          <w:lang w:val="en-US"/>
        </w:rPr>
      </w:pPr>
      <w:r w:rsidRPr="008B6B71">
        <w:rPr>
          <w:lang w:val="en-US"/>
        </w:rPr>
        <w:t>Electroc</w:t>
      </w:r>
      <w:r w:rsidR="00E64E49">
        <w:rPr>
          <w:lang w:val="en-US"/>
        </w:rPr>
        <w:t>atalytic</w:t>
      </w:r>
      <w:r w:rsidRPr="008B6B71">
        <w:rPr>
          <w:lang w:val="en-US"/>
        </w:rPr>
        <w:t xml:space="preserve"> CO</w:t>
      </w:r>
      <w:r w:rsidRPr="006A5CA6">
        <w:rPr>
          <w:vertAlign w:val="subscript"/>
          <w:lang w:val="en-US"/>
        </w:rPr>
        <w:t>2</w:t>
      </w:r>
      <w:r w:rsidRPr="008B6B71">
        <w:rPr>
          <w:lang w:val="en-US"/>
        </w:rPr>
        <w:t xml:space="preserve"> reduction reaction (CO</w:t>
      </w:r>
      <w:r w:rsidRPr="006A5CA6">
        <w:rPr>
          <w:vertAlign w:val="subscript"/>
          <w:lang w:val="en-US"/>
        </w:rPr>
        <w:t>2</w:t>
      </w:r>
      <w:r w:rsidRPr="008B6B71">
        <w:rPr>
          <w:lang w:val="en-US"/>
        </w:rPr>
        <w:t>RR) converts CO</w:t>
      </w:r>
      <w:r w:rsidRPr="006A5CA6">
        <w:rPr>
          <w:vertAlign w:val="subscript"/>
          <w:lang w:val="en-US"/>
        </w:rPr>
        <w:t>2</w:t>
      </w:r>
      <w:r w:rsidRPr="008B6B71">
        <w:rPr>
          <w:lang w:val="en-US"/>
        </w:rPr>
        <w:t xml:space="preserve"> into value-added chemicals and fuels</w:t>
      </w:r>
      <w:r w:rsidR="004064AC">
        <w:rPr>
          <w:lang w:val="en-US"/>
        </w:rPr>
        <w:t>,</w:t>
      </w:r>
      <w:r w:rsidRPr="008B6B71">
        <w:rPr>
          <w:lang w:val="en-US"/>
        </w:rPr>
        <w:t xml:space="preserve"> and is an attractive pathway for closing the carbon cycle.</w:t>
      </w:r>
      <w:r w:rsidR="00E65BA4" w:rsidRPr="00E65BA4">
        <w:rPr>
          <w:vertAlign w:val="superscript"/>
          <w:lang w:val="en-US"/>
        </w:rPr>
        <w:t>1</w:t>
      </w:r>
      <w:r w:rsidR="003639EA">
        <w:rPr>
          <w:lang w:val="en-US"/>
        </w:rPr>
        <w:t xml:space="preserve"> Copper</w:t>
      </w:r>
      <w:r w:rsidR="003639EA">
        <w:rPr>
          <w:lang w:val="en-US"/>
        </w:rPr>
        <w:noBreakHyphen/>
      </w:r>
      <w:r w:rsidRPr="008B6B71">
        <w:rPr>
          <w:lang w:val="en-US"/>
        </w:rPr>
        <w:t xml:space="preserve">based </w:t>
      </w:r>
      <w:r w:rsidR="000E1221">
        <w:rPr>
          <w:lang w:val="en-US"/>
        </w:rPr>
        <w:t>nano</w:t>
      </w:r>
      <w:r w:rsidRPr="008B6B71">
        <w:rPr>
          <w:lang w:val="en-US"/>
        </w:rPr>
        <w:t>catalysts are commonly used for CO</w:t>
      </w:r>
      <w:r w:rsidRPr="00E65BA4">
        <w:rPr>
          <w:vertAlign w:val="subscript"/>
          <w:lang w:val="en-US"/>
        </w:rPr>
        <w:t>2</w:t>
      </w:r>
      <w:r w:rsidRPr="008B6B71">
        <w:rPr>
          <w:lang w:val="en-US"/>
        </w:rPr>
        <w:t>RR due to their unique ability to convert CO</w:t>
      </w:r>
      <w:r w:rsidRPr="000E1221">
        <w:rPr>
          <w:vertAlign w:val="subscript"/>
          <w:lang w:val="en-US"/>
        </w:rPr>
        <w:t>2</w:t>
      </w:r>
      <w:r w:rsidRPr="008B6B71">
        <w:rPr>
          <w:lang w:val="en-US"/>
        </w:rPr>
        <w:t xml:space="preserve"> into more complex hydrocarbons</w:t>
      </w:r>
      <w:r w:rsidR="00EE7CB3">
        <w:rPr>
          <w:lang w:val="en-US"/>
        </w:rPr>
        <w:t>, but the distribution of reaction products is hard to control.</w:t>
      </w:r>
      <w:r w:rsidR="000E1221" w:rsidRPr="000E1221">
        <w:rPr>
          <w:vertAlign w:val="superscript"/>
          <w:lang w:val="en-US"/>
        </w:rPr>
        <w:t>2</w:t>
      </w:r>
      <w:r w:rsidRPr="008B6B71">
        <w:rPr>
          <w:lang w:val="en-US"/>
        </w:rPr>
        <w:t xml:space="preserve"> </w:t>
      </w:r>
      <w:r w:rsidR="003639EA">
        <w:rPr>
          <w:lang w:val="en-US"/>
        </w:rPr>
        <w:t>A c</w:t>
      </w:r>
      <w:r w:rsidR="00EE7CB3">
        <w:rPr>
          <w:lang w:val="en-US"/>
        </w:rPr>
        <w:t>ommonly used strategy for tuning</w:t>
      </w:r>
      <w:r w:rsidRPr="008B6B71">
        <w:rPr>
          <w:lang w:val="en-US"/>
        </w:rPr>
        <w:t xml:space="preserve"> the </w:t>
      </w:r>
      <w:r w:rsidR="00EE7CB3">
        <w:rPr>
          <w:lang w:val="en-US"/>
        </w:rPr>
        <w:t>catalysts selectivity is</w:t>
      </w:r>
      <w:r w:rsidRPr="008B6B71">
        <w:rPr>
          <w:lang w:val="en-US"/>
        </w:rPr>
        <w:t xml:space="preserve"> </w:t>
      </w:r>
      <w:r w:rsidR="00EE7CB3">
        <w:rPr>
          <w:lang w:val="en-US"/>
        </w:rPr>
        <w:t>to</w:t>
      </w:r>
      <w:r w:rsidR="00EE7CB3" w:rsidRPr="008B6B71">
        <w:rPr>
          <w:lang w:val="en-US"/>
        </w:rPr>
        <w:t xml:space="preserve"> combin</w:t>
      </w:r>
      <w:r w:rsidR="00EE7CB3">
        <w:rPr>
          <w:lang w:val="en-US"/>
        </w:rPr>
        <w:t>e</w:t>
      </w:r>
      <w:r w:rsidR="00EE7CB3" w:rsidRPr="008B6B71">
        <w:rPr>
          <w:lang w:val="en-US"/>
        </w:rPr>
        <w:t xml:space="preserve"> </w:t>
      </w:r>
      <w:r w:rsidRPr="008B6B71">
        <w:rPr>
          <w:lang w:val="en-US"/>
        </w:rPr>
        <w:t>copper with a secondary CO</w:t>
      </w:r>
      <w:r w:rsidR="000E1221">
        <w:rPr>
          <w:lang w:val="en-US"/>
        </w:rPr>
        <w:t>-</w:t>
      </w:r>
      <w:r w:rsidRPr="008B6B71">
        <w:rPr>
          <w:lang w:val="en-US"/>
        </w:rPr>
        <w:t>producing metal such as zinc.</w:t>
      </w:r>
      <w:r w:rsidR="006D7BA7">
        <w:rPr>
          <w:vertAlign w:val="superscript"/>
          <w:lang w:val="en-US"/>
        </w:rPr>
        <w:t>3</w:t>
      </w:r>
      <w:r w:rsidR="000E1221" w:rsidRPr="006D7BA7">
        <w:rPr>
          <w:lang w:val="en-US"/>
        </w:rPr>
        <w:t xml:space="preserve"> </w:t>
      </w:r>
      <w:r w:rsidR="00640C0D">
        <w:rPr>
          <w:lang w:val="en-US"/>
        </w:rPr>
        <w:t>Furthermore, recently i</w:t>
      </w:r>
      <w:r w:rsidR="004064AC">
        <w:rPr>
          <w:lang w:val="en-US"/>
        </w:rPr>
        <w:t>t</w:t>
      </w:r>
      <w:r w:rsidR="00640C0D">
        <w:rPr>
          <w:lang w:val="en-US"/>
        </w:rPr>
        <w:t xml:space="preserve"> was proposed that one</w:t>
      </w:r>
      <w:r w:rsidR="00640C0D" w:rsidRPr="008B6B71">
        <w:rPr>
          <w:lang w:val="en-US"/>
        </w:rPr>
        <w:t xml:space="preserve"> </w:t>
      </w:r>
      <w:r w:rsidR="00640C0D">
        <w:rPr>
          <w:lang w:val="en-US"/>
        </w:rPr>
        <w:t>can s</w:t>
      </w:r>
      <w:r w:rsidRPr="008B6B71">
        <w:rPr>
          <w:lang w:val="en-US"/>
        </w:rPr>
        <w:t xml:space="preserve">teer the </w:t>
      </w:r>
      <w:r w:rsidR="00640C0D">
        <w:rPr>
          <w:lang w:val="en-US"/>
        </w:rPr>
        <w:t xml:space="preserve">chemical state and structure of the Cu catalyst’s surface </w:t>
      </w:r>
      <w:r w:rsidR="00043915">
        <w:rPr>
          <w:lang w:val="en-US"/>
        </w:rPr>
        <w:t>(</w:t>
      </w:r>
      <w:r w:rsidR="00640C0D">
        <w:rPr>
          <w:lang w:val="en-US"/>
        </w:rPr>
        <w:t xml:space="preserve">and, hence, its </w:t>
      </w:r>
      <w:r w:rsidRPr="008B6B71">
        <w:rPr>
          <w:lang w:val="en-US"/>
        </w:rPr>
        <w:t>selectivity</w:t>
      </w:r>
      <w:r w:rsidR="00043915">
        <w:rPr>
          <w:lang w:val="en-US"/>
        </w:rPr>
        <w:t>)</w:t>
      </w:r>
      <w:r w:rsidRPr="008B6B71">
        <w:rPr>
          <w:lang w:val="en-US"/>
        </w:rPr>
        <w:t xml:space="preserve"> </w:t>
      </w:r>
      <w:r w:rsidR="00640C0D">
        <w:rPr>
          <w:lang w:val="en-US"/>
        </w:rPr>
        <w:t>by</w:t>
      </w:r>
      <w:r w:rsidR="00D97BC3">
        <w:rPr>
          <w:lang w:val="en-US"/>
        </w:rPr>
        <w:t xml:space="preserve"> </w:t>
      </w:r>
      <w:r w:rsidR="00043915">
        <w:rPr>
          <w:lang w:val="en-US"/>
        </w:rPr>
        <w:t xml:space="preserve">periodically </w:t>
      </w:r>
      <w:r w:rsidRPr="008B6B71">
        <w:rPr>
          <w:lang w:val="en-US"/>
        </w:rPr>
        <w:t>apply</w:t>
      </w:r>
      <w:r w:rsidR="00640C0D">
        <w:rPr>
          <w:lang w:val="en-US"/>
        </w:rPr>
        <w:t>ing</w:t>
      </w:r>
      <w:r w:rsidRPr="008B6B71">
        <w:rPr>
          <w:lang w:val="en-US"/>
        </w:rPr>
        <w:t xml:space="preserve"> </w:t>
      </w:r>
      <w:r w:rsidR="00640C0D" w:rsidRPr="008B6B71">
        <w:rPr>
          <w:lang w:val="en-US"/>
        </w:rPr>
        <w:t>oxidati</w:t>
      </w:r>
      <w:r w:rsidR="00043915">
        <w:rPr>
          <w:lang w:val="en-US"/>
        </w:rPr>
        <w:t>ve</w:t>
      </w:r>
      <w:r w:rsidR="00640C0D" w:rsidRPr="008B6B71">
        <w:rPr>
          <w:lang w:val="en-US"/>
        </w:rPr>
        <w:t xml:space="preserve"> </w:t>
      </w:r>
      <w:r w:rsidRPr="008B6B71">
        <w:rPr>
          <w:lang w:val="en-US"/>
        </w:rPr>
        <w:t>potentials during the CO</w:t>
      </w:r>
      <w:r w:rsidRPr="00D97BC3">
        <w:rPr>
          <w:vertAlign w:val="subscript"/>
          <w:lang w:val="en-US"/>
        </w:rPr>
        <w:t>2</w:t>
      </w:r>
      <w:r w:rsidRPr="008B6B71">
        <w:rPr>
          <w:lang w:val="en-US"/>
        </w:rPr>
        <w:t>RR.</w:t>
      </w:r>
      <w:r w:rsidRPr="00D97BC3">
        <w:rPr>
          <w:vertAlign w:val="superscript"/>
          <w:lang w:val="en-US"/>
        </w:rPr>
        <w:t>4</w:t>
      </w:r>
      <w:r w:rsidRPr="008B6B71">
        <w:rPr>
          <w:lang w:val="en-US"/>
        </w:rPr>
        <w:t xml:space="preserve"> However, </w:t>
      </w:r>
      <w:r w:rsidR="00D97BC3" w:rsidRPr="008B6B71">
        <w:rPr>
          <w:lang w:val="en-US"/>
        </w:rPr>
        <w:t xml:space="preserve">the bimetallic catalysts experience structural, compositional, and morphological changes </w:t>
      </w:r>
      <w:r w:rsidRPr="008B6B71">
        <w:rPr>
          <w:lang w:val="en-US"/>
        </w:rPr>
        <w:t>when exposed to CO</w:t>
      </w:r>
      <w:r w:rsidRPr="00D97BC3">
        <w:rPr>
          <w:vertAlign w:val="subscript"/>
          <w:lang w:val="en-US"/>
        </w:rPr>
        <w:t>2</w:t>
      </w:r>
      <w:r w:rsidRPr="008B6B71">
        <w:rPr>
          <w:lang w:val="en-US"/>
        </w:rPr>
        <w:t xml:space="preserve"> reduction and oxidizing conditions.</w:t>
      </w:r>
      <w:r w:rsidR="00D97BC3" w:rsidRPr="00D97BC3">
        <w:rPr>
          <w:vertAlign w:val="superscript"/>
          <w:lang w:val="en-US"/>
        </w:rPr>
        <w:t>2</w:t>
      </w:r>
      <w:r w:rsidR="00D97BC3">
        <w:rPr>
          <w:lang w:val="en-US"/>
        </w:rPr>
        <w:t xml:space="preserve"> </w:t>
      </w:r>
      <w:r w:rsidRPr="008B6B71">
        <w:rPr>
          <w:lang w:val="en-US"/>
        </w:rPr>
        <w:t>These transformations affect the</w:t>
      </w:r>
      <w:r w:rsidR="00603341">
        <w:rPr>
          <w:lang w:val="en-US"/>
        </w:rPr>
        <w:t>ir</w:t>
      </w:r>
      <w:r w:rsidRPr="008B6B71">
        <w:rPr>
          <w:lang w:val="en-US"/>
        </w:rPr>
        <w:t xml:space="preserve"> catalytic properties, but the atomistic details </w:t>
      </w:r>
      <w:r w:rsidR="000B400B">
        <w:rPr>
          <w:lang w:val="en-US"/>
        </w:rPr>
        <w:t>of this process</w:t>
      </w:r>
      <w:r w:rsidRPr="008B6B71">
        <w:rPr>
          <w:lang w:val="en-US"/>
        </w:rPr>
        <w:t xml:space="preserve"> remain </w:t>
      </w:r>
      <w:r w:rsidR="000B400B">
        <w:rPr>
          <w:lang w:val="en-US"/>
        </w:rPr>
        <w:t xml:space="preserve">largely </w:t>
      </w:r>
      <w:r w:rsidRPr="008B6B71">
        <w:rPr>
          <w:lang w:val="en-US"/>
        </w:rPr>
        <w:t xml:space="preserve">elusive. </w:t>
      </w:r>
      <w:r w:rsidRPr="00D97BC3">
        <w:rPr>
          <w:i/>
          <w:iCs/>
          <w:lang w:val="en-US"/>
        </w:rPr>
        <w:t>Operando</w:t>
      </w:r>
      <w:r w:rsidRPr="008B6B71">
        <w:rPr>
          <w:lang w:val="en-US"/>
        </w:rPr>
        <w:t xml:space="preserve"> X-ray absorption spectroscopy (XAS) is one of a few techniques that can provide direct insight into the evolution of working catalysts.</w:t>
      </w:r>
      <w:r w:rsidR="00D97BC3" w:rsidRPr="00D97BC3">
        <w:rPr>
          <w:vertAlign w:val="superscript"/>
          <w:lang w:val="en-US"/>
        </w:rPr>
        <w:t>5</w:t>
      </w:r>
      <w:r w:rsidRPr="008B6B71">
        <w:rPr>
          <w:lang w:val="en-US"/>
        </w:rPr>
        <w:t xml:space="preserve"> For bimetallic materials, XAS is especially attractive</w:t>
      </w:r>
      <w:r w:rsidR="008B721A">
        <w:rPr>
          <w:lang w:val="en-US"/>
        </w:rPr>
        <w:t>,</w:t>
      </w:r>
      <w:r w:rsidRPr="008B6B71">
        <w:rPr>
          <w:lang w:val="en-US"/>
        </w:rPr>
        <w:t xml:space="preserve"> since this element-specific method probes the catalyst’s local structure from the perspective of both metals.</w:t>
      </w:r>
      <w:r w:rsidR="002F7249" w:rsidRPr="002F7249">
        <w:rPr>
          <w:vertAlign w:val="superscript"/>
          <w:lang w:val="en-US"/>
        </w:rPr>
        <w:t>6</w:t>
      </w:r>
      <w:r w:rsidRPr="008B6B71">
        <w:rPr>
          <w:lang w:val="en-US"/>
        </w:rPr>
        <w:t xml:space="preserve"> </w:t>
      </w:r>
    </w:p>
    <w:p w14:paraId="43384FE3" w14:textId="65FCA2C5" w:rsidR="003639EA" w:rsidRDefault="00F76E14" w:rsidP="008B6B71">
      <w:pPr>
        <w:rPr>
          <w:lang w:val="en-US"/>
        </w:rPr>
      </w:pPr>
      <w:r>
        <w:rPr>
          <w:lang w:val="en-US"/>
        </w:rPr>
        <w:t>In this study</w:t>
      </w:r>
      <w:r w:rsidR="008B6B71" w:rsidRPr="008B6B71">
        <w:rPr>
          <w:lang w:val="en-US"/>
        </w:rPr>
        <w:t>, we used the QXAFS (quick X-ray absorption fine structure) method to track the time-dependent changes of ZnO-decorated Cu</w:t>
      </w:r>
      <w:r w:rsidR="008B6B71" w:rsidRPr="00D92385">
        <w:rPr>
          <w:vertAlign w:val="subscript"/>
          <w:lang w:val="en-US"/>
        </w:rPr>
        <w:t>2</w:t>
      </w:r>
      <w:r w:rsidR="008B6B71" w:rsidRPr="008B6B71">
        <w:rPr>
          <w:lang w:val="en-US"/>
        </w:rPr>
        <w:t>O nanocubes (30 nm) under CO</w:t>
      </w:r>
      <w:r w:rsidR="008B6B71" w:rsidRPr="00D92385">
        <w:rPr>
          <w:vertAlign w:val="subscript"/>
          <w:lang w:val="en-US"/>
        </w:rPr>
        <w:t>2</w:t>
      </w:r>
      <w:r w:rsidR="008B6B71" w:rsidRPr="008B6B71">
        <w:rPr>
          <w:lang w:val="en-US"/>
        </w:rPr>
        <w:t>RR and oxidizing conditions. Particular attention was devoted to studies of the potential</w:t>
      </w:r>
      <w:r w:rsidR="003639EA">
        <w:rPr>
          <w:lang w:val="en-US"/>
        </w:rPr>
        <w:noBreakHyphen/>
      </w:r>
      <w:r w:rsidR="008B6B71" w:rsidRPr="008B6B71">
        <w:rPr>
          <w:lang w:val="en-US"/>
        </w:rPr>
        <w:t xml:space="preserve">dependent behavior of </w:t>
      </w:r>
      <w:r w:rsidR="00D92385">
        <w:rPr>
          <w:lang w:val="en-US"/>
        </w:rPr>
        <w:t xml:space="preserve">the </w:t>
      </w:r>
      <w:r w:rsidR="008B6B71" w:rsidRPr="008B6B71">
        <w:rPr>
          <w:lang w:val="en-US"/>
        </w:rPr>
        <w:t xml:space="preserve">catalysts. By combining QXAFS with cyclic voltammetry scans, we identified the main structural and chemical changes taking place in </w:t>
      </w:r>
      <w:r w:rsidR="00D92385">
        <w:rPr>
          <w:lang w:val="en-US"/>
        </w:rPr>
        <w:t xml:space="preserve">the </w:t>
      </w:r>
      <w:r w:rsidR="008B6B71" w:rsidRPr="008B6B71">
        <w:rPr>
          <w:lang w:val="en-US"/>
        </w:rPr>
        <w:t>CuZn catalysts under CO</w:t>
      </w:r>
      <w:r w:rsidR="008B6B71" w:rsidRPr="00D92385">
        <w:rPr>
          <w:vertAlign w:val="subscript"/>
          <w:lang w:val="en-US"/>
        </w:rPr>
        <w:t>2</w:t>
      </w:r>
      <w:r w:rsidR="008B6B71" w:rsidRPr="008B6B71">
        <w:rPr>
          <w:lang w:val="en-US"/>
        </w:rPr>
        <w:t>RR and anodic conditions</w:t>
      </w:r>
      <w:r w:rsidR="00043915">
        <w:rPr>
          <w:lang w:val="en-US"/>
        </w:rPr>
        <w:t>, and the corresponding potential values</w:t>
      </w:r>
      <w:r w:rsidR="00640C0D">
        <w:rPr>
          <w:lang w:val="en-US"/>
        </w:rPr>
        <w:t>.</w:t>
      </w:r>
      <w:r w:rsidR="00D92385">
        <w:rPr>
          <w:lang w:val="en-US"/>
        </w:rPr>
        <w:t xml:space="preserve"> </w:t>
      </w:r>
      <w:r w:rsidR="00640C0D">
        <w:rPr>
          <w:lang w:val="en-US"/>
        </w:rPr>
        <w:t xml:space="preserve">In particular, </w:t>
      </w:r>
      <w:r w:rsidR="00D92385">
        <w:rPr>
          <w:lang w:val="en-US"/>
        </w:rPr>
        <w:t>the formation of metallic Zn and a ZnCu alloy</w:t>
      </w:r>
      <w:r w:rsidR="00D92385" w:rsidRPr="00D92385">
        <w:t xml:space="preserve"> </w:t>
      </w:r>
      <w:r w:rsidR="003639EA">
        <w:t>was observed, each of these</w:t>
      </w:r>
      <w:r w:rsidR="00640C0D">
        <w:t xml:space="preserve"> phases having </w:t>
      </w:r>
      <w:r w:rsidR="00D92385" w:rsidRPr="00D92385">
        <w:rPr>
          <w:lang w:val="en-US"/>
        </w:rPr>
        <w:t xml:space="preserve">unique reduction </w:t>
      </w:r>
      <w:r w:rsidR="00D92385">
        <w:rPr>
          <w:lang w:val="en-US"/>
        </w:rPr>
        <w:t xml:space="preserve">and </w:t>
      </w:r>
      <w:r w:rsidR="00D92385" w:rsidRPr="00D92385">
        <w:rPr>
          <w:lang w:val="en-US"/>
        </w:rPr>
        <w:t>oxidation potentials</w:t>
      </w:r>
      <w:r w:rsidR="008B6B71" w:rsidRPr="008B6B71">
        <w:rPr>
          <w:lang w:val="en-US"/>
        </w:rPr>
        <w:t xml:space="preserve">. </w:t>
      </w:r>
      <w:r w:rsidR="00640C0D">
        <w:rPr>
          <w:lang w:val="en-US"/>
        </w:rPr>
        <w:t>This information was used to design pulse</w:t>
      </w:r>
      <w:r w:rsidR="00043915">
        <w:rPr>
          <w:lang w:val="en-US"/>
        </w:rPr>
        <w:t>d</w:t>
      </w:r>
      <w:r w:rsidR="00640C0D">
        <w:rPr>
          <w:lang w:val="en-US"/>
        </w:rPr>
        <w:t xml:space="preserve"> reaction protocol</w:t>
      </w:r>
      <w:r w:rsidR="008B721A">
        <w:rPr>
          <w:lang w:val="en-US"/>
        </w:rPr>
        <w:t>s</w:t>
      </w:r>
      <w:r w:rsidR="00640C0D">
        <w:rPr>
          <w:lang w:val="en-US"/>
        </w:rPr>
        <w:t xml:space="preserve"> that ensured enhanced</w:t>
      </w:r>
      <w:r w:rsidR="008B6B71" w:rsidRPr="008B6B71">
        <w:rPr>
          <w:lang w:val="en-US"/>
        </w:rPr>
        <w:t xml:space="preserve"> </w:t>
      </w:r>
      <w:r w:rsidR="00640C0D">
        <w:rPr>
          <w:lang w:val="en-US"/>
        </w:rPr>
        <w:t xml:space="preserve">selectivity of our catalyst toward </w:t>
      </w:r>
      <w:r w:rsidR="008B6B71" w:rsidRPr="008B6B71">
        <w:rPr>
          <w:lang w:val="en-US"/>
        </w:rPr>
        <w:t xml:space="preserve">ethanol </w:t>
      </w:r>
      <w:r w:rsidR="003639EA">
        <w:rPr>
          <w:lang w:val="en-US"/>
        </w:rPr>
        <w:t>production</w:t>
      </w:r>
      <w:r w:rsidR="003639EA" w:rsidRPr="008B6B71">
        <w:rPr>
          <w:lang w:val="en-US"/>
        </w:rPr>
        <w:t xml:space="preserve">. </w:t>
      </w:r>
    </w:p>
    <w:p w14:paraId="4AF8ED95" w14:textId="77CB097F" w:rsidR="008B6B71" w:rsidRPr="008B6B71" w:rsidRDefault="003639EA" w:rsidP="008B6B71">
      <w:pPr>
        <w:rPr>
          <w:lang w:val="en-US"/>
        </w:rPr>
      </w:pPr>
      <w:r w:rsidRPr="008B6B71">
        <w:rPr>
          <w:lang w:val="en-US"/>
        </w:rPr>
        <w:t>The</w:t>
      </w:r>
      <w:r w:rsidR="00043915">
        <w:rPr>
          <w:lang w:val="en-US"/>
        </w:rPr>
        <w:t xml:space="preserve"> presented approach is thus a powerful tool </w:t>
      </w:r>
      <w:r w:rsidR="00D92385" w:rsidRPr="00D92385">
        <w:rPr>
          <w:lang w:val="en-US"/>
        </w:rPr>
        <w:t>to gain a detailed mechanistic understanding of how the bimetallic catalyst adapt on an atomic- and nanoscale to the reactive environment</w:t>
      </w:r>
      <w:r>
        <w:rPr>
          <w:lang w:val="en-US"/>
        </w:rPr>
        <w:t>.</w:t>
      </w:r>
      <w:r w:rsidR="00EB163A">
        <w:rPr>
          <w:lang w:val="en-US"/>
        </w:rPr>
        <w:t xml:space="preserve"> </w:t>
      </w:r>
      <w:r w:rsidR="00043915">
        <w:rPr>
          <w:lang w:val="en-US"/>
        </w:rPr>
        <w:t xml:space="preserve">The obtained knowledge allows us to design </w:t>
      </w:r>
      <w:r>
        <w:rPr>
          <w:lang w:val="en-US"/>
        </w:rPr>
        <w:t xml:space="preserve">an </w:t>
      </w:r>
      <w:r w:rsidR="00D92385" w:rsidRPr="00D92385">
        <w:rPr>
          <w:lang w:val="en-US"/>
        </w:rPr>
        <w:t>optimized reaction protocol for CO</w:t>
      </w:r>
      <w:r w:rsidR="00D92385" w:rsidRPr="00EB163A">
        <w:rPr>
          <w:vertAlign w:val="subscript"/>
          <w:lang w:val="en-US"/>
        </w:rPr>
        <w:t>2</w:t>
      </w:r>
      <w:r w:rsidR="00D92385" w:rsidRPr="00D92385">
        <w:rPr>
          <w:lang w:val="en-US"/>
        </w:rPr>
        <w:t>RR</w:t>
      </w:r>
      <w:r w:rsidR="00043915">
        <w:rPr>
          <w:lang w:val="en-US"/>
        </w:rPr>
        <w:t>,</w:t>
      </w:r>
      <w:r w:rsidR="00D92385" w:rsidRPr="00D92385">
        <w:rPr>
          <w:lang w:val="en-US"/>
        </w:rPr>
        <w:t xml:space="preserve"> </w:t>
      </w:r>
      <w:r w:rsidR="00043915">
        <w:rPr>
          <w:lang w:val="en-US"/>
        </w:rPr>
        <w:t>making</w:t>
      </w:r>
      <w:r w:rsidR="00D92385" w:rsidRPr="00D92385">
        <w:rPr>
          <w:lang w:val="en-US"/>
        </w:rPr>
        <w:t xml:space="preserve"> it a competing net-zero approach for energy transformation and storage.</w:t>
      </w:r>
    </w:p>
    <w:p w14:paraId="667E68B9" w14:textId="77777777" w:rsidR="002F7249" w:rsidRPr="00D92385" w:rsidRDefault="002F7249" w:rsidP="00984DFF">
      <w:pPr>
        <w:pStyle w:val="ReferencesHeading"/>
        <w:rPr>
          <w:lang w:val="en-US"/>
        </w:rPr>
      </w:pPr>
    </w:p>
    <w:p w14:paraId="7C118CB7" w14:textId="67A600ED" w:rsidR="00551CD8" w:rsidRPr="00984DFF" w:rsidRDefault="00551CD8" w:rsidP="00984DFF">
      <w:pPr>
        <w:pStyle w:val="ReferencesHeading"/>
      </w:pPr>
      <w:r w:rsidRPr="00984DFF">
        <w:t>References</w:t>
      </w:r>
    </w:p>
    <w:p w14:paraId="68AF9010" w14:textId="77777777" w:rsidR="00E65BA4" w:rsidRPr="00E65BA4" w:rsidRDefault="00E65BA4" w:rsidP="00E65BA4">
      <w:pPr>
        <w:pStyle w:val="ListParagraph"/>
        <w:numPr>
          <w:ilvl w:val="0"/>
          <w:numId w:val="1"/>
        </w:numPr>
        <w:rPr>
          <w:lang w:val="es-ES"/>
        </w:rPr>
      </w:pPr>
      <w:r w:rsidRPr="00E65BA4">
        <w:rPr>
          <w:lang w:val="es-ES"/>
        </w:rPr>
        <w:t>Y. Hori, A. Murata, R. Takahashi, J. Chem. Soc., Faraday Trans. 1 85, 2309 (1989).</w:t>
      </w:r>
    </w:p>
    <w:p w14:paraId="047EE183" w14:textId="77777777" w:rsidR="006D7BA7" w:rsidRDefault="00610AAD" w:rsidP="006D7BA7">
      <w:pPr>
        <w:pStyle w:val="References"/>
        <w:numPr>
          <w:ilvl w:val="0"/>
          <w:numId w:val="1"/>
        </w:numPr>
        <w:ind w:left="357" w:hanging="357"/>
        <w:rPr>
          <w:iCs/>
          <w:lang w:val="es-ES"/>
        </w:rPr>
      </w:pPr>
      <w:r w:rsidRPr="0067501F">
        <w:rPr>
          <w:lang w:val="es-ES"/>
        </w:rPr>
        <w:t>A. D. Handoko, F. Wei, B. S. Yeo, Z. W. Seh</w:t>
      </w:r>
      <w:r w:rsidR="00F12EEE">
        <w:rPr>
          <w:lang w:val="es-ES"/>
        </w:rPr>
        <w:t>,</w:t>
      </w:r>
      <w:r w:rsidRPr="0067501F">
        <w:rPr>
          <w:lang w:val="es-ES"/>
        </w:rPr>
        <w:t xml:space="preserve"> </w:t>
      </w:r>
      <w:r w:rsidRPr="0067501F">
        <w:rPr>
          <w:iCs/>
          <w:lang w:val="es-ES"/>
        </w:rPr>
        <w:t>Nat. Catal.</w:t>
      </w:r>
      <w:r w:rsidR="0067501F" w:rsidRPr="0067501F">
        <w:rPr>
          <w:iCs/>
          <w:lang w:val="es-ES"/>
        </w:rPr>
        <w:t xml:space="preserve"> </w:t>
      </w:r>
      <w:r w:rsidRPr="0067501F">
        <w:rPr>
          <w:iCs/>
          <w:lang w:val="es-ES"/>
        </w:rPr>
        <w:t>1</w:t>
      </w:r>
      <w:r w:rsidRPr="0067501F">
        <w:rPr>
          <w:lang w:val="es-ES"/>
        </w:rPr>
        <w:t>, 922</w:t>
      </w:r>
      <w:r w:rsidR="0067501F" w:rsidRPr="0067501F">
        <w:rPr>
          <w:lang w:val="es-ES"/>
        </w:rPr>
        <w:t xml:space="preserve"> (2018)</w:t>
      </w:r>
      <w:r w:rsidRPr="0067501F">
        <w:rPr>
          <w:lang w:val="es-ES"/>
        </w:rPr>
        <w:t>.</w:t>
      </w:r>
    </w:p>
    <w:p w14:paraId="4D95FE75" w14:textId="77777777" w:rsidR="00D97BC3" w:rsidRPr="00D97BC3" w:rsidRDefault="006D7BA7" w:rsidP="00D97BC3">
      <w:pPr>
        <w:pStyle w:val="References"/>
        <w:numPr>
          <w:ilvl w:val="0"/>
          <w:numId w:val="1"/>
        </w:numPr>
        <w:ind w:left="357" w:hanging="357"/>
        <w:rPr>
          <w:iCs/>
          <w:lang w:val="es-ES"/>
        </w:rPr>
      </w:pPr>
      <w:r w:rsidRPr="006D7BA7">
        <w:rPr>
          <w:lang w:val="es-ES"/>
        </w:rPr>
        <w:t>H. S. Jeon, J. Timoshenko, F. Scholten, I. Sinev, A. Herzog, F. T. Haase, B. Roldan Cuenya, J. Am. Chem. Soc. 141, 19879 (2019).</w:t>
      </w:r>
    </w:p>
    <w:p w14:paraId="34AB3D45" w14:textId="77777777" w:rsidR="00D97BC3" w:rsidRDefault="00D97BC3" w:rsidP="00D97BC3">
      <w:pPr>
        <w:pStyle w:val="References"/>
        <w:numPr>
          <w:ilvl w:val="0"/>
          <w:numId w:val="1"/>
        </w:numPr>
        <w:ind w:left="357" w:hanging="357"/>
        <w:rPr>
          <w:iCs/>
          <w:lang w:val="es-ES"/>
        </w:rPr>
      </w:pPr>
      <w:r w:rsidRPr="00D97BC3">
        <w:rPr>
          <w:iCs/>
          <w:lang w:val="es-ES"/>
        </w:rPr>
        <w:t>H. S. Jeon, J. Timoshenko, C. Rettenmaier, A. Herzog, A. Yoon, S. W. Chee, S. Oener, U. Hejral, F. T. Haase, B. Roldan Cuenya, J. Am. Chem. Soc. 143, 7578 (2021).</w:t>
      </w:r>
    </w:p>
    <w:p w14:paraId="298776A0" w14:textId="77777777" w:rsidR="002F7249" w:rsidRDefault="00D97BC3" w:rsidP="002F7249">
      <w:pPr>
        <w:pStyle w:val="References"/>
        <w:numPr>
          <w:ilvl w:val="0"/>
          <w:numId w:val="1"/>
        </w:numPr>
        <w:ind w:left="357" w:hanging="357"/>
        <w:rPr>
          <w:iCs/>
          <w:lang w:val="es-ES"/>
        </w:rPr>
      </w:pPr>
      <w:r w:rsidRPr="00D97BC3">
        <w:rPr>
          <w:lang w:val="es-ES"/>
        </w:rPr>
        <w:t>J. Timoshenko</w:t>
      </w:r>
      <w:r w:rsidR="00610AAD" w:rsidRPr="00EE7CB3">
        <w:rPr>
          <w:iCs/>
          <w:lang w:val="es-ES"/>
        </w:rPr>
        <w:t xml:space="preserve">, </w:t>
      </w:r>
      <w:r w:rsidRPr="00D97BC3">
        <w:rPr>
          <w:iCs/>
          <w:lang w:val="es-ES"/>
        </w:rPr>
        <w:t>B. Roldan Cuenya</w:t>
      </w:r>
      <w:r w:rsidR="00610AAD" w:rsidRPr="00EE7CB3">
        <w:rPr>
          <w:iCs/>
          <w:lang w:val="es-ES"/>
        </w:rPr>
        <w:t xml:space="preserve">, </w:t>
      </w:r>
      <w:r w:rsidRPr="00EE7CB3">
        <w:rPr>
          <w:iCs/>
          <w:lang w:val="es-ES"/>
        </w:rPr>
        <w:t xml:space="preserve">Chem. </w:t>
      </w:r>
      <w:r w:rsidRPr="002F7249">
        <w:rPr>
          <w:iCs/>
          <w:lang w:val="en-US"/>
        </w:rPr>
        <w:t>Rev. 121, 882 (2021)</w:t>
      </w:r>
      <w:r w:rsidR="00610AAD" w:rsidRPr="002F7249">
        <w:rPr>
          <w:iCs/>
          <w:lang w:val="en-US"/>
        </w:rPr>
        <w:t>.</w:t>
      </w:r>
    </w:p>
    <w:p w14:paraId="4F010995" w14:textId="2E8978C4" w:rsidR="00551CD8" w:rsidRPr="002F7249" w:rsidRDefault="00C901BA" w:rsidP="002F7249">
      <w:pPr>
        <w:pStyle w:val="References"/>
        <w:numPr>
          <w:ilvl w:val="0"/>
          <w:numId w:val="1"/>
        </w:numPr>
        <w:ind w:left="357" w:hanging="357"/>
        <w:rPr>
          <w:iCs/>
          <w:lang w:val="es-ES"/>
        </w:rPr>
      </w:pPr>
      <w:r>
        <w:rPr>
          <w:lang w:val="es-ES"/>
        </w:rPr>
        <w:t>S</w:t>
      </w:r>
      <w:r w:rsidR="002F7249" w:rsidRPr="002F7249">
        <w:rPr>
          <w:lang w:val="es-ES"/>
        </w:rPr>
        <w:t xml:space="preserve">. </w:t>
      </w:r>
      <w:r>
        <w:rPr>
          <w:lang w:val="es-ES"/>
        </w:rPr>
        <w:t>Bordiga</w:t>
      </w:r>
      <w:r w:rsidR="002F7249" w:rsidRPr="002F7249">
        <w:rPr>
          <w:lang w:val="es-ES"/>
        </w:rPr>
        <w:t xml:space="preserve">, </w:t>
      </w:r>
      <w:r>
        <w:rPr>
          <w:lang w:val="es-ES"/>
        </w:rPr>
        <w:t>E. Groppo, G. Agostini, J. A. van Bokhoven, C. Lamberti, Chem. Rev</w:t>
      </w:r>
      <w:r w:rsidR="002F7249" w:rsidRPr="002F7249">
        <w:rPr>
          <w:lang w:val="es-ES"/>
        </w:rPr>
        <w:t>.</w:t>
      </w:r>
      <w:r>
        <w:rPr>
          <w:lang w:val="es-ES"/>
        </w:rPr>
        <w:t xml:space="preserve"> 113</w:t>
      </w:r>
      <w:r w:rsidR="002F7249">
        <w:rPr>
          <w:lang w:val="es-ES"/>
        </w:rPr>
        <w:t xml:space="preserve">, </w:t>
      </w:r>
      <w:r>
        <w:rPr>
          <w:lang w:val="es-ES"/>
        </w:rPr>
        <w:t>1736</w:t>
      </w:r>
      <w:r w:rsidR="002F7249">
        <w:rPr>
          <w:lang w:val="es-ES"/>
        </w:rPr>
        <w:t xml:space="preserve"> (</w:t>
      </w:r>
      <w:r>
        <w:rPr>
          <w:lang w:val="es-ES"/>
        </w:rPr>
        <w:t>2013</w:t>
      </w:r>
      <w:r w:rsidR="002F7249">
        <w:rPr>
          <w:lang w:val="es-ES"/>
        </w:rPr>
        <w:t>).</w:t>
      </w:r>
    </w:p>
    <w:sectPr w:rsidR="00551CD8" w:rsidRPr="002F7249" w:rsidSect="005E5DAC">
      <w:headerReference w:type="default" r:id="rId7"/>
      <w:pgSz w:w="11907" w:h="16840" w:code="9"/>
      <w:pgMar w:top="1701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63932" w14:textId="77777777" w:rsidR="00DD19CC" w:rsidRDefault="00DD19CC" w:rsidP="00984DFF">
      <w:r>
        <w:separator/>
      </w:r>
    </w:p>
  </w:endnote>
  <w:endnote w:type="continuationSeparator" w:id="0">
    <w:p w14:paraId="62470C23" w14:textId="77777777" w:rsidR="00DD19CC" w:rsidRDefault="00DD19CC" w:rsidP="0098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464C6" w14:textId="77777777" w:rsidR="00DD19CC" w:rsidRDefault="00DD19CC" w:rsidP="00984DFF">
      <w:r>
        <w:separator/>
      </w:r>
    </w:p>
  </w:footnote>
  <w:footnote w:type="continuationSeparator" w:id="0">
    <w:p w14:paraId="5F292946" w14:textId="77777777" w:rsidR="00DD19CC" w:rsidRDefault="00DD19CC" w:rsidP="00984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CF3DD" w14:textId="4AC77FCD" w:rsidR="005A6269" w:rsidRPr="00984DFF" w:rsidRDefault="00610AAD" w:rsidP="00984DFF">
    <w:pPr>
      <w:pStyle w:val="Header"/>
    </w:pPr>
    <w:r>
      <w:t>ISC</w:t>
    </w:r>
    <w:r w:rsidR="00FA11CE" w:rsidRPr="00984DFF">
      <w:t xml:space="preserve"> </w:t>
    </w:r>
    <w:r w:rsidR="00926E05" w:rsidRPr="00984DFF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73D2"/>
    <w:multiLevelType w:val="hybridMultilevel"/>
    <w:tmpl w:val="7BAC10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9472BE"/>
    <w:multiLevelType w:val="hybridMultilevel"/>
    <w:tmpl w:val="7BAC10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9C518F"/>
    <w:multiLevelType w:val="hybridMultilevel"/>
    <w:tmpl w:val="7BAC108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381617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6587178">
    <w:abstractNumId w:val="2"/>
  </w:num>
  <w:num w:numId="3" w16cid:durableId="1246845426">
    <w:abstractNumId w:val="1"/>
  </w:num>
  <w:num w:numId="4" w16cid:durableId="1922136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17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FE0"/>
    <w:rsid w:val="00016BD4"/>
    <w:rsid w:val="00030A22"/>
    <w:rsid w:val="00043915"/>
    <w:rsid w:val="00046E83"/>
    <w:rsid w:val="000B400B"/>
    <w:rsid w:val="000B4B7D"/>
    <w:rsid w:val="000C79EC"/>
    <w:rsid w:val="000E1221"/>
    <w:rsid w:val="000E37D0"/>
    <w:rsid w:val="00106849"/>
    <w:rsid w:val="00117FDE"/>
    <w:rsid w:val="00132BE5"/>
    <w:rsid w:val="001456CF"/>
    <w:rsid w:val="001970A1"/>
    <w:rsid w:val="001A5A1E"/>
    <w:rsid w:val="00234E72"/>
    <w:rsid w:val="00235A5A"/>
    <w:rsid w:val="00236B95"/>
    <w:rsid w:val="00272510"/>
    <w:rsid w:val="0028110C"/>
    <w:rsid w:val="002C624F"/>
    <w:rsid w:val="002F7249"/>
    <w:rsid w:val="00300FF3"/>
    <w:rsid w:val="0033658D"/>
    <w:rsid w:val="0034220E"/>
    <w:rsid w:val="003426AC"/>
    <w:rsid w:val="003639EA"/>
    <w:rsid w:val="003D29BB"/>
    <w:rsid w:val="003D3117"/>
    <w:rsid w:val="003D6215"/>
    <w:rsid w:val="004064AC"/>
    <w:rsid w:val="0043013C"/>
    <w:rsid w:val="00491177"/>
    <w:rsid w:val="004B7D92"/>
    <w:rsid w:val="004C10F6"/>
    <w:rsid w:val="00533034"/>
    <w:rsid w:val="00533266"/>
    <w:rsid w:val="00533790"/>
    <w:rsid w:val="00551CD8"/>
    <w:rsid w:val="0057328D"/>
    <w:rsid w:val="00595FE0"/>
    <w:rsid w:val="005A6269"/>
    <w:rsid w:val="005B460D"/>
    <w:rsid w:val="005D654D"/>
    <w:rsid w:val="005E5DAC"/>
    <w:rsid w:val="00603341"/>
    <w:rsid w:val="00610AAD"/>
    <w:rsid w:val="00640C0D"/>
    <w:rsid w:val="00666B2A"/>
    <w:rsid w:val="0067501F"/>
    <w:rsid w:val="006A5CA6"/>
    <w:rsid w:val="006B5679"/>
    <w:rsid w:val="006C2614"/>
    <w:rsid w:val="006D7BA7"/>
    <w:rsid w:val="00762B1E"/>
    <w:rsid w:val="00801EAB"/>
    <w:rsid w:val="00806429"/>
    <w:rsid w:val="008B6B71"/>
    <w:rsid w:val="008B721A"/>
    <w:rsid w:val="008C5C7E"/>
    <w:rsid w:val="00905365"/>
    <w:rsid w:val="0091292A"/>
    <w:rsid w:val="00926E05"/>
    <w:rsid w:val="00933F73"/>
    <w:rsid w:val="00984DFF"/>
    <w:rsid w:val="009C3B31"/>
    <w:rsid w:val="009F1755"/>
    <w:rsid w:val="00AC7F5B"/>
    <w:rsid w:val="00AD7427"/>
    <w:rsid w:val="00B30999"/>
    <w:rsid w:val="00B41288"/>
    <w:rsid w:val="00B607C5"/>
    <w:rsid w:val="00B71BCD"/>
    <w:rsid w:val="00B746F4"/>
    <w:rsid w:val="00B80923"/>
    <w:rsid w:val="00BA6B81"/>
    <w:rsid w:val="00BF3DBF"/>
    <w:rsid w:val="00C06D2B"/>
    <w:rsid w:val="00C31FB7"/>
    <w:rsid w:val="00C901BA"/>
    <w:rsid w:val="00C975D4"/>
    <w:rsid w:val="00CB03CE"/>
    <w:rsid w:val="00CE2FB4"/>
    <w:rsid w:val="00CE54CB"/>
    <w:rsid w:val="00CF56FD"/>
    <w:rsid w:val="00D261E5"/>
    <w:rsid w:val="00D26C02"/>
    <w:rsid w:val="00D7168F"/>
    <w:rsid w:val="00D84666"/>
    <w:rsid w:val="00D92385"/>
    <w:rsid w:val="00D94792"/>
    <w:rsid w:val="00D97BC3"/>
    <w:rsid w:val="00DA36B6"/>
    <w:rsid w:val="00DB0E32"/>
    <w:rsid w:val="00DD19CC"/>
    <w:rsid w:val="00E40334"/>
    <w:rsid w:val="00E55A9A"/>
    <w:rsid w:val="00E64E49"/>
    <w:rsid w:val="00E65BA4"/>
    <w:rsid w:val="00E9491A"/>
    <w:rsid w:val="00EA650A"/>
    <w:rsid w:val="00EB163A"/>
    <w:rsid w:val="00EE2703"/>
    <w:rsid w:val="00EE7CB3"/>
    <w:rsid w:val="00EF62BC"/>
    <w:rsid w:val="00F12EEE"/>
    <w:rsid w:val="00F251F8"/>
    <w:rsid w:val="00F3430B"/>
    <w:rsid w:val="00F4000F"/>
    <w:rsid w:val="00F76569"/>
    <w:rsid w:val="00F76E14"/>
    <w:rsid w:val="00F862EB"/>
    <w:rsid w:val="00F96E15"/>
    <w:rsid w:val="00FA11CE"/>
    <w:rsid w:val="00FA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CB9448"/>
  <w15:docId w15:val="{C2FF7FFB-8C70-412B-A31C-A142998C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4DFF"/>
    <w:pPr>
      <w:spacing w:before="120" w:line="280" w:lineRule="exact"/>
      <w:jc w:val="both"/>
    </w:pPr>
    <w:rPr>
      <w:rFonts w:ascii="Open Sans Light" w:hAnsi="Open Sans Light" w:cs="Open Sans Light"/>
      <w:sz w:val="22"/>
      <w:szCs w:val="22"/>
      <w:lang w:val="en-GB" w:eastAsia="de-DE"/>
    </w:rPr>
  </w:style>
  <w:style w:type="paragraph" w:styleId="Heading1">
    <w:name w:val="heading 1"/>
    <w:basedOn w:val="BodyText"/>
    <w:next w:val="Normal"/>
    <w:qFormat/>
    <w:rsid w:val="00046E83"/>
    <w:pPr>
      <w:outlineLvl w:val="0"/>
    </w:pPr>
    <w:rPr>
      <w:rFonts w:ascii="Open Sans SemiBold" w:hAnsi="Open Sans SemiBold" w:cs="Open Sans SemiBold"/>
    </w:rPr>
  </w:style>
  <w:style w:type="paragraph" w:styleId="Heading2">
    <w:name w:val="heading 2"/>
    <w:basedOn w:val="Normal"/>
    <w:next w:val="Normal"/>
    <w:qFormat/>
    <w:rsid w:val="000B4B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rschrift14">
    <w:name w:val="Überschrift 14"/>
    <w:basedOn w:val="Normal"/>
    <w:next w:val="Normal"/>
    <w:rPr>
      <w:b/>
      <w:sz w:val="28"/>
    </w:rPr>
  </w:style>
  <w:style w:type="paragraph" w:customStyle="1" w:styleId="berscheift14fett">
    <w:name w:val="Überscheift 14 fett"/>
    <w:basedOn w:val="berschrift14"/>
    <w:next w:val="Normal"/>
    <w:rPr>
      <w:b w:val="0"/>
      <w:sz w:val="32"/>
    </w:rPr>
  </w:style>
  <w:style w:type="paragraph" w:styleId="Header">
    <w:name w:val="header"/>
    <w:basedOn w:val="Normal"/>
    <w:rsid w:val="00984DFF"/>
    <w:pPr>
      <w:tabs>
        <w:tab w:val="center" w:pos="4536"/>
        <w:tab w:val="right" w:pos="9072"/>
      </w:tabs>
      <w:spacing w:line="240" w:lineRule="auto"/>
      <w:jc w:val="right"/>
    </w:pPr>
    <w:rPr>
      <w:rFonts w:ascii="Open Sans SemiBold" w:hAnsi="Open Sans SemiBold" w:cs="Open Sans SemiBold"/>
      <w:b/>
    </w:rPr>
  </w:style>
  <w:style w:type="paragraph" w:customStyle="1" w:styleId="berschrift20fett">
    <w:name w:val="Überschrift 20 fett"/>
    <w:basedOn w:val="Normal"/>
    <w:next w:val="Normal"/>
    <w:rPr>
      <w:b/>
      <w:sz w:val="40"/>
    </w:rPr>
  </w:style>
  <w:style w:type="paragraph" w:customStyle="1" w:styleId="einzeilignormal">
    <w:name w:val="einzeilig normal"/>
    <w:basedOn w:val="Normal"/>
    <w:pPr>
      <w:spacing w:line="240" w:lineRule="auto"/>
    </w:pPr>
  </w:style>
  <w:style w:type="paragraph" w:customStyle="1" w:styleId="Normal1">
    <w:name w:val="Normal1"/>
    <w:rPr>
      <w:rFonts w:ascii="Helvetica" w:hAnsi="Helvetica"/>
      <w:sz w:val="24"/>
      <w:lang w:eastAsia="de-DE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rsid w:val="00984DF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BodyText">
    <w:name w:val="Body Text"/>
    <w:basedOn w:val="Normal"/>
    <w:pPr>
      <w:jc w:val="center"/>
    </w:pPr>
    <w:rPr>
      <w:b/>
      <w:sz w:val="28"/>
    </w:rPr>
  </w:style>
  <w:style w:type="paragraph" w:customStyle="1" w:styleId="Kursiveberschrift">
    <w:name w:val="Kursive Überschrift"/>
    <w:basedOn w:val="Normal1"/>
    <w:pPr>
      <w:spacing w:before="480" w:line="360" w:lineRule="auto"/>
      <w:jc w:val="both"/>
    </w:pPr>
    <w:rPr>
      <w:rFonts w:ascii="Times New Roman" w:hAnsi="Times New Roman"/>
      <w:i/>
    </w:rPr>
  </w:style>
  <w:style w:type="paragraph" w:styleId="BodyText2">
    <w:name w:val="Body Text 2"/>
    <w:basedOn w:val="Normal"/>
    <w:rPr>
      <w:sz w:val="20"/>
    </w:rPr>
  </w:style>
  <w:style w:type="paragraph" w:styleId="BalloonText">
    <w:name w:val="Balloon Text"/>
    <w:basedOn w:val="Normal"/>
    <w:semiHidden/>
    <w:rsid w:val="005A6269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046E83"/>
    <w:pPr>
      <w:jc w:val="center"/>
    </w:pPr>
    <w:rPr>
      <w:lang w:val="en-US"/>
    </w:rPr>
  </w:style>
  <w:style w:type="character" w:customStyle="1" w:styleId="SubtitleChar">
    <w:name w:val="Subtitle Char"/>
    <w:basedOn w:val="DefaultParagraphFont"/>
    <w:link w:val="Subtitle"/>
    <w:rsid w:val="00046E83"/>
    <w:rPr>
      <w:rFonts w:ascii="Open Sans Light" w:hAnsi="Open Sans Light" w:cs="Open Sans Light"/>
      <w:sz w:val="22"/>
      <w:szCs w:val="22"/>
      <w:lang w:eastAsia="de-DE"/>
    </w:rPr>
  </w:style>
  <w:style w:type="paragraph" w:customStyle="1" w:styleId="ReferencesHeading">
    <w:name w:val="References_Heading"/>
    <w:basedOn w:val="Kursiveberschrift"/>
    <w:qFormat/>
    <w:rsid w:val="00984DFF"/>
    <w:pPr>
      <w:spacing w:before="0" w:line="280" w:lineRule="exact"/>
    </w:pPr>
    <w:rPr>
      <w:rFonts w:ascii="Open Sans SemiBold" w:hAnsi="Open Sans SemiBold" w:cs="Open Sans SemiBold"/>
      <w:b/>
      <w:i w:val="0"/>
      <w:sz w:val="22"/>
      <w:szCs w:val="22"/>
      <w:lang w:val="de-DE"/>
    </w:rPr>
  </w:style>
  <w:style w:type="paragraph" w:customStyle="1" w:styleId="References">
    <w:name w:val="References"/>
    <w:basedOn w:val="Kursiveberschrift"/>
    <w:qFormat/>
    <w:rsid w:val="00984DFF"/>
    <w:pPr>
      <w:spacing w:before="0" w:line="280" w:lineRule="exact"/>
      <w:ind w:left="284" w:hanging="284"/>
    </w:pPr>
    <w:rPr>
      <w:rFonts w:ascii="Open Sans Light" w:hAnsi="Open Sans Light" w:cs="Open Sans Light"/>
      <w:i w:val="0"/>
      <w:sz w:val="22"/>
      <w:szCs w:val="22"/>
      <w:lang w:val="de-DE"/>
    </w:rPr>
  </w:style>
  <w:style w:type="paragraph" w:styleId="ListParagraph">
    <w:name w:val="List Paragraph"/>
    <w:basedOn w:val="Normal"/>
    <w:uiPriority w:val="34"/>
    <w:qFormat/>
    <w:rsid w:val="00610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7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gabi\Anwendungsdaten\Microsoft\Vorlagen\CP1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CP1.dot</Template>
  <TotalTime>0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Abstract:</vt:lpstr>
      <vt:lpstr>Abstract:</vt:lpstr>
    </vt:vector>
  </TitlesOfParts>
  <Company>FHI der MPG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Abstract:</dc:title>
  <dc:creator>gabi</dc:creator>
  <cp:lastModifiedBy>Janis Timosenko</cp:lastModifiedBy>
  <cp:revision>9</cp:revision>
  <cp:lastPrinted>2019-07-25T12:33:00Z</cp:lastPrinted>
  <dcterms:created xsi:type="dcterms:W3CDTF">2021-10-22T13:30:00Z</dcterms:created>
  <dcterms:modified xsi:type="dcterms:W3CDTF">2022-09-06T16:13:00Z</dcterms:modified>
</cp:coreProperties>
</file>